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center"/>
        <w:tabs>
          <w:tab w:val="left" w:pos="1125" w:leader="none"/>
          <w:tab w:val="center" w:pos="496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49"/>
        <w:jc w:val="center"/>
        <w:tabs>
          <w:tab w:val="left" w:pos="1125" w:leader="none"/>
          <w:tab w:val="center" w:pos="49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</w:t>
      </w:r>
      <w:r/>
    </w:p>
    <w:p>
      <w:pPr>
        <w:pStyle w:val="833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/>
          <w:b/>
          <w:sz w:val="28"/>
          <w:szCs w:val="28"/>
        </w:rPr>
        <w:t xml:space="preserve">з</w:t>
      </w:r>
      <w:r>
        <w:rPr>
          <w:rFonts w:ascii="Times New Roman" w:hAnsi="Times New Roman"/>
          <w:b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33"/>
        <w:jc w:val="center"/>
        <w:spacing w:after="0" w:line="240" w:lineRule="auto"/>
        <w:widowControl w:val="o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Закон Новосибирской области «Об особо охраняемых природных территориях в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833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сентября 2023 года вступил в силу Федеральный закон от 18 марта 2023 года № 77-ФЗ «О внесении изменений в отдельные законодательные акты Российской Федерации» (далее – Федеральный закон № 77-ФЗ), направленный на регулирование вопросов осуществления туриз</w:t>
      </w:r>
      <w:r>
        <w:rPr>
          <w:rFonts w:ascii="Times New Roman" w:hAnsi="Times New Roman"/>
          <w:sz w:val="28"/>
          <w:szCs w:val="28"/>
        </w:rPr>
        <w:t xml:space="preserve">ма на особо охраняемых природных территориях.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 связи с внесением изменений в Федеральный закон № 77-ФЗ</w:t>
      </w:r>
      <w:r>
        <w:rPr>
          <w:rFonts w:ascii="Times New Roman" w:hAnsi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вносятся изменения в </w:t>
      </w:r>
      <w:r>
        <w:rPr>
          <w:rFonts w:ascii="Times New Roman" w:hAnsi="Times New Roman"/>
          <w:sz w:val="28"/>
          <w:szCs w:val="28"/>
        </w:rPr>
        <w:t xml:space="preserve">Закон Новосибирской области от 26 сентября 2005 года № 325-ОЗ «Об особо охраняемых природных территориях в Новосибирской области»</w:t>
      </w:r>
      <w:r>
        <w:rPr>
          <w:rFonts w:ascii="Times New Roman" w:hAnsi="Times New Roman"/>
          <w:sz w:val="28"/>
          <w:szCs w:val="28"/>
        </w:rPr>
        <w:t xml:space="preserve"> (далее – Закон Новосибирской области № 325-ОЗ)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которыми уточняется терминология, используемая в Федеральном законе № 77-ФЗ, </w:t>
      </w:r>
      <w:r>
        <w:rPr>
          <w:rFonts w:ascii="Times New Roman" w:hAnsi="Times New Roman"/>
          <w:sz w:val="28"/>
          <w:szCs w:val="28"/>
        </w:rPr>
        <w:t xml:space="preserve">а также закрепляются за областным исполнительным органом Новосибирской области в сфере </w:t>
      </w:r>
      <w:r>
        <w:rPr>
          <w:rFonts w:ascii="Times New Roman" w:hAnsi="Times New Roman"/>
          <w:sz w:val="28"/>
          <w:szCs w:val="28"/>
        </w:rPr>
        <w:t xml:space="preserve">организации, охраны и функционирования особо охраняемых природных территорий регионального значения</w:t>
      </w:r>
      <w:r>
        <w:rPr>
          <w:rFonts w:ascii="Times New Roman" w:hAnsi="Times New Roman"/>
          <w:sz w:val="28"/>
          <w:szCs w:val="28"/>
        </w:rPr>
        <w:t xml:space="preserve"> полномочия по: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 туризма на особо охраняемых природных территориях регионального значения;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утверждению правил организации и осуществления туризма, в том числе обеспечения безопасности туризма на особо охраняемых природных территориях регионального значения;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утверждению порядка расчета предельно допустимой рекреационной емкости на особо охраняемых природных территориях регионального значения при осуществлении туризма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состоит из 2 статей. 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Статьёй 1 вносятся данные изменения в  Закон Новосибирской области № 325-ОЗ.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2 определяет порядок вступления Закона Новосибирской области в силу.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/>
  </w:p>
  <w:p>
    <w:pPr>
      <w:pStyle w:val="843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4">
    <w:name w:val="Основной шрифт абзаца"/>
    <w:next w:val="834"/>
    <w:link w:val="833"/>
    <w:uiPriority w:val="1"/>
    <w:semiHidden/>
    <w:unhideWhenUsed/>
  </w:style>
  <w:style w:type="table" w:styleId="835">
    <w:name w:val="Обычная таблица"/>
    <w:next w:val="835"/>
    <w:link w:val="833"/>
    <w:uiPriority w:val="99"/>
    <w:semiHidden/>
    <w:unhideWhenUsed/>
    <w:qFormat/>
    <w:tblPr/>
  </w:style>
  <w:style w:type="numbering" w:styleId="836">
    <w:name w:val="Нет списка"/>
    <w:next w:val="836"/>
    <w:link w:val="833"/>
    <w:uiPriority w:val="99"/>
    <w:semiHidden/>
    <w:unhideWhenUsed/>
  </w:style>
  <w:style w:type="table" w:styleId="837">
    <w:name w:val="Сетка таблицы"/>
    <w:basedOn w:val="835"/>
    <w:next w:val="837"/>
    <w:link w:val="833"/>
    <w:uiPriority w:val="59"/>
    <w:pPr>
      <w:spacing w:after="0" w:line="240" w:lineRule="auto"/>
    </w:pPr>
    <w:tblPr/>
  </w:style>
  <w:style w:type="paragraph" w:styleId="838">
    <w:name w:val="ConsPlusNormal"/>
    <w:next w:val="838"/>
    <w:link w:val="833"/>
    <w:rPr>
      <w:rFonts w:ascii="Times New Roman" w:hAnsi="Times New Roman"/>
      <w:sz w:val="28"/>
      <w:szCs w:val="28"/>
      <w:lang w:val="ru-RU" w:eastAsia="en-US" w:bidi="ar-SA"/>
    </w:rPr>
  </w:style>
  <w:style w:type="paragraph" w:styleId="839">
    <w:name w:val="Обычный (веб)"/>
    <w:basedOn w:val="833"/>
    <w:next w:val="839"/>
    <w:link w:val="83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apple-converted-space"/>
    <w:basedOn w:val="834"/>
    <w:next w:val="840"/>
    <w:link w:val="833"/>
  </w:style>
  <w:style w:type="character" w:styleId="841">
    <w:name w:val="Гиперссылка"/>
    <w:next w:val="841"/>
    <w:link w:val="833"/>
    <w:uiPriority w:val="99"/>
    <w:semiHidden/>
    <w:unhideWhenUsed/>
    <w:rPr>
      <w:color w:val="0000ff"/>
      <w:u w:val="single"/>
    </w:rPr>
  </w:style>
  <w:style w:type="paragraph" w:styleId="842">
    <w:name w:val="s_9"/>
    <w:basedOn w:val="833"/>
    <w:next w:val="842"/>
    <w:link w:val="83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3">
    <w:name w:val="Верхний колонтитул"/>
    <w:basedOn w:val="833"/>
    <w:next w:val="843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>
    <w:name w:val="Верхний колонтитул Знак"/>
    <w:basedOn w:val="834"/>
    <w:next w:val="844"/>
    <w:link w:val="843"/>
    <w:uiPriority w:val="99"/>
  </w:style>
  <w:style w:type="paragraph" w:styleId="845">
    <w:name w:val="Нижний колонтитул"/>
    <w:basedOn w:val="833"/>
    <w:next w:val="845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>
    <w:name w:val="Нижний колонтитул Знак"/>
    <w:basedOn w:val="834"/>
    <w:next w:val="846"/>
    <w:link w:val="845"/>
    <w:uiPriority w:val="99"/>
  </w:style>
  <w:style w:type="paragraph" w:styleId="847">
    <w:name w:val="Текст выноски"/>
    <w:basedOn w:val="833"/>
    <w:next w:val="847"/>
    <w:link w:val="848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48">
    <w:name w:val="Текст выноски Знак"/>
    <w:next w:val="848"/>
    <w:link w:val="847"/>
    <w:uiPriority w:val="99"/>
    <w:semiHidden/>
    <w:rPr>
      <w:rFonts w:ascii="Tahoma" w:hAnsi="Tahoma" w:cs="Tahoma"/>
      <w:sz w:val="16"/>
      <w:szCs w:val="16"/>
    </w:rPr>
  </w:style>
  <w:style w:type="paragraph" w:styleId="849">
    <w:name w:val="ConsPlusTitle"/>
    <w:next w:val="849"/>
    <w:link w:val="833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850">
    <w:name w:val="Абзац списка"/>
    <w:basedOn w:val="833"/>
    <w:next w:val="850"/>
    <w:link w:val="833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1">
    <w:name w:val="Без интервала"/>
    <w:next w:val="851"/>
    <w:link w:val="833"/>
    <w:uiPriority w:val="1"/>
    <w:qFormat/>
    <w:rPr>
      <w:sz w:val="22"/>
      <w:szCs w:val="22"/>
      <w:lang w:val="ru-RU" w:eastAsia="en-US" w:bidi="ar-SA"/>
    </w:rPr>
  </w:style>
  <w:style w:type="paragraph" w:styleId="852">
    <w:name w:val="Текст сноски"/>
    <w:basedOn w:val="833"/>
    <w:next w:val="852"/>
    <w:link w:val="853"/>
    <w:semiHidden/>
    <w:unhideWhenUsed/>
    <w:pPr>
      <w:jc w:val="both"/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character" w:styleId="853">
    <w:name w:val="Текст сноски Знак"/>
    <w:next w:val="853"/>
    <w:link w:val="852"/>
    <w:semiHidden/>
    <w:rPr>
      <w:rFonts w:ascii="Times New Roman" w:hAnsi="Times New Roman"/>
      <w:lang w:eastAsia="en-US"/>
    </w:rPr>
  </w:style>
  <w:style w:type="character" w:styleId="854">
    <w:name w:val="Знак сноски"/>
    <w:next w:val="854"/>
    <w:link w:val="833"/>
    <w:semiHidden/>
    <w:unhideWhenUsed/>
    <w:rPr>
      <w:vertAlign w:val="superscript"/>
    </w:r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mns</dc:creator>
  <cp:revision>13</cp:revision>
  <dcterms:created xsi:type="dcterms:W3CDTF">2022-09-06T05:52:00Z</dcterms:created>
  <dcterms:modified xsi:type="dcterms:W3CDTF">2023-11-30T03:15:52Z</dcterms:modified>
  <cp:version>917504</cp:version>
</cp:coreProperties>
</file>